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25307-П/2010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Зайлямова Марата Габделнуровича на нарушение его конституционных прав рядом положений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В.Г.Ярославцева, рассмотрев по требованию гражданина М.Г.Зайлямова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Оспаривая конституционность названных законоположений, заявитель указывает, что протокол об административном правонарушении, протокол об отстранении от управления транспортным средством, протокол о направлении на медицинское освидетельствование на состояние опьянения и акт освидетельствования на состояние алкогольного опьянения составлены с нарушением закона. М.Г.Зайлямов также полагает, что в его деле не применялись, но подлежали применению часть 2 статьи 25.6, части 1–3 статьи 25.7, часть 3 статьи 26.2, пункт 1 части 2 статьи 28.3 и часть 1 статьи 28.5 КоАП Российской Федерации. Таким образом, заявитель фактически требует проверить законность и обоснованность действий и решений должностных лиц государственных органов. Между тем оценка правильности выбора нормы, подлежащей применению в конкретном деле, равно как и проверка законности и обоснованности действий и решений государственных органов и их должностных лиц Конституционному Суду Российской Федерации неподведомственны (статья 125 Конституции Российской Федерации и статья 3 Федерального конституционного закона «О Конституционном Суде Российской Федерации»).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Зайлямова Марата Габделнуровича,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