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24037-П/2010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«СК «Славнефтьстрой» на нарушение его конституционных прав и свобод пунктом 2 части 3 статьи 233, пунктом 2 части 3 статьи 239 Арбитражного процессуального кодекса Российской Федерации, абзацем третьим подпункта 2 пункта 2 статьи 46 Федерального закона «О третейских судах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вопрос о возможности принятия жалобы ЗАО «СК «Славнефтьстрой»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первой инстанции удовлетворено заявление ЗАО «СК «Славнефтьстрой» об отмене решения Арбитража при Московской торгово-промышленной палате. Постановлением арбитражного суда кассационной инстанции названное определение отменено, в удовлетворении заявления ЗАО «СК «Славнефтьстрой» отказано. Определением коллегии судей Высшего 2 Арбитражного Суда Российской Федерации отказано в передаче дела в Президиум Высшего Арбитражного Суда Российской Федерации. Определением арбитражного суда первой инстанции, оставленным без изменения вышестоящими судами, удовлетворено заявление ОАО «Курба» о выдаче исполнительного листа на принудительное исполнение решения Арбитража при Московской торгово-промышленной палате. В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ЗАО «СК «Славнефтьстрой» материалы, не находит оснований для принятия его жалобы к рассмотрению. Закрепление в пункте 2 части 3 статьи 233, пункте 2 части 3 статьи 239 АПК Российской Федерации, абзаце третьем подпункта 2 пункта 2 статьи 46 Федерального закона «О третейских судах в Российской Федерации» такого основания для отмены решения третейского суда, отказа в выдаче исполнительного листа на принудительное исполнение решения третейского суда, как нарушение решением третейского суда основополагающих принципов российского права, направлено на укрепление законности в сфере предпринимательской и иной экономической деятельности, а потому само по себе не может рассматриваться как нарушающее конституционные права и свободы заявителя, перечисленные в жалобе. Установление же того, в каких случаях решение третейского суда нарушает основополагающие принципы российского права, равно как и выбор нормы права, подлежащей применению в конкретном деле, относится 3 к дискреционным полномочиям арбитражного суда, рассматривающего дело, и в компетенцию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изложенного,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«СК «Славнефтьстрой»,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