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34676-П/2010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Балуева Максима Валерьевича на нарушение его конституционных прав пунктом 1 части третьей статьи 406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Н.В.Селезнева, В.Г.Стрекозова, В.Г.Ярославцева, рассмотрев по требованию гражданина М.В.Балуева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Пермского краевого суда от 29 мая 2009 года надзорная жалоба гражданина М.В.Балуева на приговор была оставлена без удовлетворения.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третья статьи 406 УПК Российской Федерации лишь закрепляет виды решений, принимаемых судьей по результатам изучения надзорных жалобы или представления: об отказе в удовлетворении надзорных жалобы или представления (пункт 1); о возбуждении надзорного производства и передаче надзорных жалобы или представления на рассмотрение суда надзорной инстанции вместе с уголовным делом, если оно было истребовано (пункт 2). Приведенные законоположения не освобождают судью от обязанности проанализировать все изложенные в жалобе доводы о допущенных при рассмотрении дела в судах нижестоящих инстанций нарушениях закона и принять обоснованное решение об удовлетворении надзорной жалобы либо об отказе в этом (определения Конституционного Суда Российской Федерации от 19 апреля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Балуева Максима Валерьевича,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