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219783-П/2015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«Дорожное строительство» на нарушение конституционных прав и свобод частью шестой статьи 136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«Дорожное строительство»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 статьи 136 Трудового кодекса Российской Федерации, представляя собой одну из гарантий реализации права работника на своевременную и в полном размере выплату заработной платы, согласуется с основными принципами правового регулирования трудовых отношений и иных непосредственно связанных с ними отношений (статья 2 Трудового кодекса Российской Федерации) и направлена на обеспечение баланса прав и законных интересов сторон трудового договора. Таким образом, оспариваемое законоположение не может расцениваться как нарушающее права заявителя. Разрешение же вопроса о возможности применения в деле заявителя Постановления Совета Министров СССР «О порядке выплаты заработной платы рабочим за первую половину месяца» связано с выбором нормы, подлежащей применению в конкретном деле, что к компетенции Конституционного Суда Российской Федерации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«Дорожное строительство»,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