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31602-П/2002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Солохина Анатолия Александровича на нарушение его конституционных прав статьями 282, 283 и 312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А.Л.Кононова, В.О.Лучина, Н.В.Селезнева, В.Г.Стрекозова, О.И.Тиунова,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А.А.Солохина,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Судебная коллегия по гражданским делам Курского областного суда, рассмотрев кассационную жалобу курского завода "Маяк" на решение Кировского районного суда города Курска, которым истцу было отказано в удовлетворении требований о расторжении лицензионного договора с А.А.Солохиным, отменила указанное решение и, удовлетворив требования истца, вынесла новое решение по делу, которое в соответствии со статьей 312 ГПК РСФСР вступило в законную силу после его вынесения и не подлежало дальнейшему обжалованию.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18 Конституции Российской Федерации 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 При этом согласно статье 45 (часть 2) Конституции Российской Федерации каждый вправе защищать свои права и свободы всеми способами, не запрещенными законом, в частности прибегать к судебной защите прав и свобод, которая гарантирована каждому статьей 46 (часть 1) Конституции Российской Федерации. Раскрывая содержание права на судебную защиту применительно к конкретным видам судопроизводства,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А.А.Солохина,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