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46622-П/2010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Клюцкого Дениса Дмитриевича на нарушение его конституционных прав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Д.Д.Клюцкого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гражданину Д.Д.Клюцкому было отказано в принятии искового заявления к территориальному управлению Судебного департамента и территориальному управлению Федерального казначейства о компенсации морального вреда. При этом суд со ссылкой в том числе на пункт 2 статьи 1070 ГК Российской Федерации указал, что при отсутствии вступившего в законную силу приговора суда, 2 которым установлена вина судьи, Д.Д.Клюцкий не имеет права на обращение в суд с указанным иском.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Д.Д.Клюцким материалы, не находит оснований для принятия его жалобы к рассмотрению. Положение пункта 2 статьи 1070 ГК Российской Федерации, в соответствии с которым вред, причиненный при осуществлении правосудия, возмещается только в случаях, если вина судьи установлена приговором суда, вступившим в законную силу, с учетом его конституционно-правового толкования, выраженного в сохраняющих силу решениях Конституционного Суда Российской Федерации (Постановление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Клюцкого Дениса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