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25769-П/2010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«Челябинский тракторный завод – УРАЛТРАК» на нарушение конституционных прав и свобод пунктом 2 статьи 233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В.Г.Ярославцева, рассмотрев по требованию ООО «Челябинский тракторный завод – УРАЛТРАК»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 удовлетворено исковое требование ОАО «Межрегиональная распределительная сетевая компания Урала» о взыскании с ООО «Челябинский тракторный завод – УРАЛТРАК» 258 523 727 рублей.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рассмотрению, поскольку приложенными к ней документами не подтверждается применение пункта 2 статьи 233 Федерального закона от 26 октября 2002 года № 127-ФЗ «О несостоятельности (банкротстве)» в конкретном деле заявителя, а потому его жалоба не может быть признана допустимой в силу статей 96 и 97 Федерального конституционного закона «О Конституционном Суде Российской Федерации». Проверка же законности и обоснованности вынесенного судебного решения, в том числе на предмет правильности применения в деле норм того или иного закона,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«Челябинский тракторный завод – УРАЛТРАК»,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