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27895-П/2010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апреля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Карангина Александра Михайловича на нарушение его конституционных прав частью первой статьи 412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Л.М.Жарковой, Г.А.Жилина, М.И.Клеандрова, С.Д.Князева, А.Н.Кокотова, Л.О.Красавчиковой, С.П.Маврина, Н.В.Мельникова, Н.В.Селезнева, В.Г.Стрекозова, В.Г.Ярославцева, рассмотрев по требованию гражданина А.М.Карангина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25 ноября 2004 года надзорная жалоба гражданина А.М.Карангина на приговор Верховного суда Республики Татарстан от 24 мая 2004 года, которым он за совершение ряда преступлений осужден к пожизненному лишению свободы, была оставлена без удовлетворения. Ответом судьи Верховного Суда Российской Федерации от 8 ноября 2005 года очередная надзорная жалоба А.М.Карангина была возвращена без рассмотрения как повторная. 2 По мнению заявителя, часть первая статьи 412 УПК Российской Федерации позволяет рассматривать как повторную надзорную жалобу, принесенную в тот же суд по иным основаниям, а потому нарушает его права, гарантируемые статьями 2, 15 (часть 4), 45, 46 (части 1 и 2) и 50 (часть 3)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Карангина Александра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