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41513-П/2010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Капитонова Сергея Владимировича на нарушение его конституционных прав статьями 1 и 357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С.В.Капитонова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С.В.Капитоновым материалы, не находит оснований для принятия его жалобы к рассмотрению. Статья 357 УПК Российской Федерации наделяет лиц, имеющих право подать жалобу, возможностью ходатайствовать перед судом, постановившим приговор или вынесшим иное обжалуемое решение, о восстановлении пропущенного срока подачи жалобы; в качестве основания для такого восстановления выступает уважительная причина пропуска срока обжалования (часть первая), в том числе получение стороной копии обжалуемого судебного решения по истечении 5 суток со дня его провозглашения (часть вторая); постановление судьи об отказе в восстановлении пропущенного срока может быть обжаловано в вышестоящий суд (часть третья). Тем самым оспариваемая заявителем норма определяет лишь порядок восстановления срока обжалования и не регулирует вопрос о возможности оспаривания решения суда о восстановлении срока. При этом отсутствуют препятствия для проверки правомерности данного решения одновременно и в связи с рассмотрением жалобы по существу (Определение Конституционного Суда Российской Федерации от 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Капитонова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