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32085-П/1997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Совета Федерации о проверке конституционности Федерального закона "О переводном и простом векселе"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Э.М.Аметистова, Н.Т.Ведерникова, Н.В.Витрука, Ю.М.Данилова, Л.М.Жарковой, А.Л.Кононова, В.И.Олейника, Ю.Д.Рудкина, Н.В.Селезнева, В.Г.Стрекозова, О.И.Тиунова, О.С.Хохряковой, В.Г.Ярославцева, заслушав в пленарном заседании заключение судьи О.И.Тиунова,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Совета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Совет Федерации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статьи 1 Федерального закона "О переводном и простом векселе", согласно которому на территории Российской Федерации применяется Постановление Центрального Исполнительного Комитета и Совета Народных Комиссаров СССР от 7 августа 1937 года № 104/1341 "О введении в действие Положения о переводном и простом векселе", по мнению Совета Федерации, не подлежит применению, так как статус подобных правовых актов на территории Российской Федерации регулируется не федеральным законом, а непосредственно Конституцией Российской Федерации (статья 15, часть 1). Согласно пункту 2 раздела второго "Заключительные и переходные положения" Конституции Российской Федерации законы и другие правовые акты, действовавшие на территории Российской Федерации до вступления в силу Конституции Российской Федерации, применяются в части, ей не противоречащей. Из этого следует, что вопрос о действии правовых актов, изданных до вступления в силу Конституции Российской Федерации, самой Конституцией не решается. В данном случае этот вопрос был решен законодателем. Государственная Дума приняла Федеральный закон "О переводном и простом векселе" с учетом международных обязательств Российской Федерации, вытекающих из ее участия в Конвенции от 7 июня 1930 года, устанавливающей Единообразный закон о переводном и простом векселях. Законодатель вправе был решить вопрос о применении на территории Российской Федерации Постановления Центрального Исполнительного Комитета и Совета Народных Комиссаров СССР "О введении в действие Положения о переводном и простом векселе", поскольку к его компетенции отнесено принятие федеральных законов, в том числе по вопросам ратификации международных договоров (статья 105, часть 1, Конституции Российской Федерации).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2 Федерального закона "О переводном и простом векселе" Российская Федерация, субъекты Российской Федерации и муниципальные образования имеют право 2 обязываться по векселю только в случаях, специально предусмотренных федеральным законом. Заявитель полагает, что, введя эту норму, федеральный законодатель вторгся в компетенцию субъектов Российской Федерации и муниципальных образований, ограничив ее необходимостью издания федерального закона. Отношения, возникающие в связи с переводным и простым векселем, регулируются гражданским законодательством, находящимся в ведении Российской Федерации (пункт "о" статьи 71 Конституции Российской Федерации), а потому только федеральный законодатель вправе установить в законе все случаи использования векселей для Российской Федерации, субъектов Российской Федерации и муниципальных образований как субъектов гражданского права. Российская Федерация, субъекты Российской Федерации и муниципальные образования участвуют в гражданских правоотношениях как субъекты со специальной правоспособностью, которая в силу их публично-правовой природы не совпадает с правоспособностью других субъектов гражданского права - граждан и юридических лиц, преследующих частные интересы. При этом, по смыслу пункта 2 статьи 124 Гражданского кодекса Российской Федерации, к властвующим субъектам, участвующим в гражданских отношениях, применяются нормы о юридических лицах, если иное не вытекает из закона или особенностей данных субъектов. Закрепив в части второй статьи 2 Федерального закона "О переводном и простом векселе" необходимость принятия специального федерального закона, регулирующего вексельный оборот с участием государства, государственных и муниципальных образований, федеральный законодатель действовал в рамках предоставленной ему Конституцией Российской Федерации компетенции.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3 Федерального закона "О переводном и простом векселе", по мнению Совета Федерации, противоречит приложению 1 к Конвенции от 7 июня 1930 года, устанавливающему Единообразный закон о переводном и простом векселях, и в соответствии со статьей 15 (часть 4) Конституции Российской Федерации не подлежит применению. Сам по себе факт несоответствия закона вступившему в силу международному договору Российской Федерации не является основанием для принятия Конституционным Судом Российской Федерации запроса к рассмотрению. Согласно статье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Совета Федерации о соответствии Конституции Российской Федерации Федерального закона "О переводном и простом векселе" ввиду неподведомственности поставленных в нем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Заместитель Председателя Конституционного Суда Российской Федерации 3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