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37178-П/2010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Есениной Анны Альбертовны на нарушение ее конституционных прав пунктом 4 части второй статьи 364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вопрос о возможности принятия жалобы гражданки А.А.Есениной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Московского городского суда решение суда первой инстанции, которым было удовлетворено заявление граждан А.А.Ободзинской и В.В.Ободзинской об установлении факта принятия наследства, отменено по надзорной жалобе гражданки А.А.Есениной, дело направлено на новое рассмотрение в тот же суд.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А.А.Есениной материалы, не находит оснований для принятия ее жалобы к рассмотрению. Норма пункта 4 части второй статьи 364 ГПК Российской Федерации, согласно которой решение суда первой инстанции подлежит отмене независимо от доводов кассационных жалобы, представления в случае, если суд разрешил вопрос о правах и об обязанностях лиц, не привлеченных к участию в деле, направлена на исправление допущенных нижестоящими судами нарушений норм процессуального права и сама по себе конституционные права заявительницы не нарушает.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Есениной Анны Альбертовны,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