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43037-П/2010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сентября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Ишевского Константина Викторовича на нарушение его конституционных прав частью первой статьи 100 и статьей 109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О.С.Хохряковой,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рассмотрев по требованию гражданина К.В.Ишевского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следует из жалобы, К.В.Ишевский, оспаривая конституционность части первой статьи 100 и статьи 109 УПК Российской Федерации, указывает на то, что они позволили избрать ему как подозреваемому в совершении преступления, предусмотренного частью первой статьи 105 «Убийство» УК Российской Федерации, меру пресечения в виде заключения под стражу, но обвинение предъявить по иной статье, а также вынести постановление о продлении срока содержания под стражей до вступления в законную силу предыдущего решения об этом, обжалованного заявителем в суд кассационной инстанции. Тем самым К.В.Ишевский фактически предлагает Конституционному Суду Российской Федерации оценить не положения закона, а правильность их применения, что связано с исследованием фактических обстоятельств производства по конкретному уголовному делу и к компетенции Конституционного Суда Российской Федерации не относится.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Ишевского Константина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О.С.Хохрякова 3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