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33855-П/2003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"Экран" на нарушение конституционных прав и свобод подпунктом 2 пункта 3 статьи 149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Н.В.Селезнева, А.Я.Сливы, О.С.Хохряковой, Б.С.Эбзеева, B.Г.Ярославцева,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ООО "Экран",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57 Конституции Российской Федерации, в Российской Федерации как правовом государстве законы о налогах должны содержать четкие и понятные нормы, тем чтобы не допускалась неопределенность в их понимании и, следовательно, возможность произвольного их истолкования и применения.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Разрешая вопрос о принятии обращения к рассмотрению,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"Экран",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