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30895-П/2000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на нарушение конституционных прав гражданина Быстрова Вячеслава Сергеевича положениями статей 218 и 220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Т.Г.Морщаковой, Ю.Д.Рудкина, Н.В.Селезнева, А.Я.Сливы, В.Г.Стрекозова, О.И.Тиунова, Б.С.Эбзеева, В.Г.Ярославцева, рассмотрев в пленарном заседании вопрос о соответствии жалобы на нарушение конституционных прав гражданина В.С.Быстрова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Н.И.Быстрова, признанная законным представителем своего несовершеннолетнего сына В.С.Быстрова, обвиняемого по уголовному делу,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Положения Уголовно-процессуального кодекса РСФСР, исключающие возможность судебного обжалования действий и решений органов предварительного расследования, ранее уже были предметом рассмотрения Конституционного Суда Российской Федерации. В постановлении от 23 марта 1999 года по делу о проверке конституционности положений статьи 133, части первой статьи 218 и статьи 220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на нарушение конституционных прав гражданина Быстрова Вячеслава Сергеевича,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рассмотрение жалобы может быть признано допустимым.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