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32230-П/1997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Шурыгина Виталия Романовича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В.Д.Зорькина, В.О.Лучина, Т.Г.Морщаковой, В.И.Олейника, Н.В.Селезнева, В.Г.Стрекозова, О.С.Хохряковой, Б.С.Эбзеева, В.Г.Ярославцева, рассмотрев в пленарном заседании вопрос о соответствии жалобы гражданина В.Р.Шурыгина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В.Р.Шурыгин и его сын Б.В.Шурыгин дважды, 21 ноября 1996 года и 8 февраля 1997 года, подавали на имя Председателя Верховного Суда Российской Федерации заявления, в которых просили Верховный Суд обязать Генеральную прокуратуру Российской Федерации вынести мотивированное постановление по их жалобам на постановление прокуратуры города Москвы об отказе в возбуждении уголовного дела, а также возбудить уголовное дело в отношении Генерального прокурора Российской Федерации в связи с ненадлежащим исполнением служебных обязанностей. Эти заявления без рассмотрения Верховным Судом были направлены сотрудниками его аппарата для разрешения в Генеральную прокуратуру. Считая, что тем самым было нарушено его право на судебную защиту, В.Р.Шурыгин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 (части 1 и 2) Конституции Российской Федерации каждому гарантируется судебная защита его прав и свобод, а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 По смыслу статей 55 и 56 Конституции Российской Федерации, право граждан на судебную защиту не может быть ограничено ни при каких условиях. Такое же положение закреплено, по сути, в федеральном законодательстве, определяющем основания и порядок обжалования в суд действий и решений, нарушающих права граждан. Так, согласно статье 3 Закона Российской Федерации от 27 апреля 1993 года "Об обжаловании в суд действий и решений, нарушающих права и свободы граждан" (с изменениями и дополнениями от 14 декабря 1995 года) суды должны рассматривать в порядке, установленном этим Законом, жалобы на любые действия (решения), нарушающие права и свободы граждан, кроме тех, в отношении которых 2 законодательством предусмотрен иной порядок судебного обжалования. Поскольку каких бы то ни было изъятий из этого правила никаким другим законом не установлено,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Шурыгина Виталия Романовича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