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31917-П/2002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учреждения "Хозяйственно-правовая служба" Воронежского областного фонда инвалидов по зрению на нарушение конституционных прав и свобод статьей 174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учреждения "Хозяйственно- правовая служба" Воронежского областного фонда инвалидов по зрению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Утверждение заявителя о том, что статья 174 АПК Российской Федерации позволяет суду кассационной инстанции осуществлять такое толкование подлежащих применению норм материального права, которое связано с корректировкой их диспозиции, является произвольным и не соответствует содержанию самой этой статьи, - в ней установлено, что при рассмотрении дела в кассационной инстанции арбитражный суд проверяет правильность применения норм материального права и процессуального права арбитражным судом первой и апелляционной инстанций. 2 Выражая несогласие с толкованием и применением арбитражным судом кассационной инстанции норм материального права, заявитель тем самым фактически ставит перед Конституционным Судом Российской Федерации вопрос о проверке его постановления по конкретному делу, что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"О Конституционном Суде Российской Федерации". Следовательно, данная жалоба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учреждения "Хозяйственно-правовая служба" Воронежского областного фонда инвалидов по зрению,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