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33799-П/1994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проверке конституционности Указа Президента Российской Федерации от 29 ноября 1994 года № 2133 "О совершенствовании эксплуатации первого частотного (г.Москва) канала телевидения и сети его распространения"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 Федерального Собрания,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Оспариваемый Указ содержит положения, касающиеся совершенствования эксплуатации только одного средства информации и связи - первого частотного (г.Москва) канала телевидения и сети его распространения, и связанные с этим конкретные поручения Правительству Российской Федерации. Данный Указ не устанавливает каких-либо правовых норм, регулирующих организацию и ведение телевещания, он лишь санкционирует вхождение телерадиокомпании "Останкино" на правах соучредителя в акционерное общество "Общественное российское телевидение" и решает некоторые вопросы оперативно-хозяйственной деятельности этого юридического лица. Положения Указа имеют в основном оперативно-распорядительный характер, адресованы определенным субъектам и не являются нормативными. Право Президента Российской Федерации на издание указов такого рода вытекает из положений Конституции Российской Федерации (статья 90). В соответствии со статьей 125 (пункт "а" части 2) Конституции Российской Федерации и подпунктом "а" пункта 1 части первой статьи 3 Федерального конституционного закона "О Конституционном Суде Российской Федерации" к компетенции Конституционного Суда Российской Федерации относится разрешение дел о соответствии Конституции Российской Федерации лишь нормативных актов Президента Российской Федерации. Поэтому разрешение вопроса, поставленного 2 в обращении Государственной Думы Федерального Собрания, Конституционному Суду неподведомственно.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говорится о том, что Указом в нарушение законодательства государственное имущество передано в собственность акционерного общества "Общественное российское телевидение", не определен характер данного акционерного общества. В этой связи необходимо отметить, что вопросы законности организации и деятельности акционерных обществ находятся в компетенции судов (арбитражных и общих), других правоприменительных органов и Конституционному Суду Российской Федерации также неподведомственны. Исходя из изложенного и руководствуясь пунктом 1 части первой статьи 43, частью четвертой статьи 71, частью пятой статьи 74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Государственной Думы Федерального Собрания о проверке соответствия Конституции Российской Федерации Указа Президента Российской Федерации от 29 ноября 1994 года № 2133 "О совершенствовании эксплуатации первого частотного (г.Москва) канала телевидения и сети его распространения"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