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33200-П/1999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Стеценко Любови Степановны на нарушение ее конституционных прав положениями части первой статьи 325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А.Я.Сливы, В.Г.Стрекозова, О.И.Тиунова, О.С.Хохряковой,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Л.С.Стеценко,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Советский районный суд города Воронежа своим решением обязал администрацию города Воронежа выделить администрации Советского района благоустроенную квартиру для предоставления ее в найм семье гражданки Л.С.Стеценко. Судебная коллегия по гражданским делам Воронежского областного суда это решение оставила без изменения.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Стеценко Любови Степановны, поскольку по предмету обращения Конституционным Судом Российской Федерации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Гражданское дело Стеценко Любови Степановны, основанное на признанной неконституционной части первой статьи 325 ГПК РСФСР, подлежит пересмотру судом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