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191378-П/2015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Анисимова Михаила Алексеевича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М.А.Анисимова,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6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об отказе в такой передаче (часть вторая статьи 4018). Установленный же данным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же лица рассматривалась этим судом в судебном заседании либо была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7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отменен), предоставляет дополнительные гарантии выявления и устранения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судами существенные нарушения уголовного и (или) уголовно-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8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М.А.Анисимовым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Анисимова Михаила Алексеевича, поскольку она не отвечает требованиям Федерального конституционного закона «О Конституционном Суде 12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