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125765-П/2013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Костаревой Людмилы Ивановны на нарушение ее конституционных прав положениями части девятой статьи 115 и статьи 154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Л.И.Костаревой,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30 ноября 2007 года по признакам преступления, предусмотренного частью четвертой статьи 159 «Мошенничество» УК Российской Федерации, в отношении ряда лиц, включая сына гражданки Л.И.Костаревой, было возбуждено уголовное дело, предварительное следствие по которому по окончании соответствующего срока было приостановлено на основании пункта 2 части первой статьи 208 УПК Российской Федерации в связи с тем, 2 что подозреваемые скрылись и находятся в международном розыске. Судья Верх-Исетского районного суда города Екатеринбурга постановлением от 7 июня 2008 года, оставленным без изменения кассационным определением судебной коллегии по уголовным делам Свердловского областного суда от 15 августа 2008 года, удовлетворил ходатайство следователя по данному уголовному делу и для обеспечения исполнения приговора в части гражданского иска и иных имущественных взысканий разрешил наложение ареста на имущество (офисные помещения), принадлежащее Л.И.Костаревой на праве собственности, в виде запрета распоряжаться и пользоваться им, признав наличие достаточных оснований полагать, что это имущество приобретено на средства, полученные преступным путем, и используется для финансирования организованной преступной группы. Надзорная жалоба заявительницы на постановление судьи оставлена без удовлетворения (постановление судьи Свердловского областного суда от 9 октября 2008 года и ответ председателя Свердловского областного суда от 4 мая 2009 года). Л.И.Костарева обратилась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Признавая Постановлением от 31 января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Л.И.Костарева включает в предмет своей новой жалобы 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Постановлении от 31 января 2011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поскольку по жалобе Л.И.Костаревой о признании части девятой статьи 115 УПК Российской Федерации противоречащей Конституции Российской Федерации Конституционным Судом Российской Федерации ранее было вынесено Постановление, сохраняющее свою силу, а оспариваемые заявительницей положения статьи 154 того же Кодекса, вопреки ее утверждению, в системе действующего правового регулирования не являются неопределенными и не предполагают ограничений для отмены или изменения содержания меры процессуального принуждения в виде наложения ареста на имущество, находящееся у другого лица, в случае приостановления предварительного следствия по выделенному в отдельное производство уголовному делу в отношении скрывшегося от органов расследования обвиняемого, постольку ее новая жалоба в соответствии с пунктами 2 и 3 части первой статьи 43, статьями 96 и 97 Федерального конституционного закона «О Конституционном Суде Российской Федерации»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Костаревой Людмилы Ивановны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