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188649-П/2015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Петровой Светланы Николаевны на нарушение ее конституционных прав абзацем вторым пункта 1 статьи 146 Семейного кодекса Российской Федерации и пунктом 2 статьи 35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С.Н.Петровой,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материнство и детство, семья находятся под защитой государства (статья 38, часть 1). В основе правового регулирования семейных отношений лежат принципы государственной поддержки семьи, материнства, отцовства и детства (статья 7, часть 2, Конституции Российской Федерации), приоритета семейного воспитания детей, заботы об их благосостоянии и развитии, обеспечения приоритетной защиты прав и интересов несовершеннолетних (статья 1 Семейного кодекса Российской Федерации). Это согласуется с пунктом 1 статьи 3 Конвенции ООН о правах ребенка (принята Генеральной Ассамблеей ООН 20 ноября 1989 года), согласно которому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Преследуя цель защиты прав и интересов детей, оставшихся без попечения родителей, федеральный законодатель предусмотрел различные формы устройства таких детей, а именно: в семью на воспитание 4 (усыновление, удочерение), под опеку или попечительство, в приемную семью либо в случаях, предусмотренных законами субъектов Российской Федерации, – в патронатную семью, а при отсутствии такой возможности временно, на период до их устройства на воспитание в семью, – в организации для детей-сирот и детей, оставшихся без попечения родителей, всех типов. Задача выбора – исходя из конкретных обстоятельств лишения ребенка родительского попечения – в наибольшей степени соответствующей интересам ребенка формы его устройства и последующий контроль за условиями содержания таких детей, их воспитания и образования возложены на органы опеки и попечительства (пункт 1 статьи 121, пункт 1 статьи 123 Семейного кодекса Российской Федерации). Опека и попечительство, согласно статье 31 ГК Российской Федерации, устанавливаются как над несовершеннолетними, так и над совершеннолетними недееспособными или не полностью дееспособными гражданами для защиты их интересов (пункт 1). Целями установления опеки (попечительства) над детьми, оставшимися без попечения родителей, являются, кроме того, их содержание, воспитание и образование (пункт 1 статьи 145 Семейного кодекса Российской Федерации). При назначении опекуна (попечителя) должны учитываться нравственные и иные личные качества опекуна (попечителя), способность его к выполнению обязанностей опекуна или попечителя, отношения, существующие между ним и лицом, нуждающимся в опеке или попечительстве и, если это возможно, желание самого подопечного, а при назначение опекуна (попечителя) ребенку должно также учитываться отношение к ребенку членов семьи опекуна (попечителя) (пункт 3 статьи 35 ГК Российской Федерации, пункт 2 статьи 146 Семейного кодекса Российской Федерации). Опекуны и попечители несовершеннолетних граждан обязаны проживать совместно со своими подопечными (пункт 2 статьи 36 ГК Российской Федерации и абзац первый пункта 1 статьи 148 Семейного кодекса Российской Федерации). Орган опеки и попечительства обязан 5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 (пункт 2 статьи 78 Семейного кодекса Российской Федерации). Таким образом, осуществление опеки (попечительства) в отношении оставшихся без родительского попечения несовершеннолетних имеет существенную специфику. Соответственно, ввиду необходимости совместного проживания опекуна (попечителя) и подопечного, преследующей цель надлежащего выполнения опекуном (попечителем) своих обязанностей по содержанию и воспитанию несовершеннолетнего подопечного, особое значение при выборе опекуна (попечителя) ребенку приобретает оценка приемлемости условий в предполагаемом месте их совместного проживания: наличие удовлетворительных жилищно-бытовых условий, отношение к ребенку членов семьи опекуна (попечителя) и благополучность нравственно-психологического климата в семье опекуна (попечителя). Благоприятный внутрисемейный климат – безусловное требование для нормального воспитания и развития ребенка. Вопросы, касающиеся ограничения определенных категорий лиц в возможности выступать в качестве лиц, заменяющих родителей для детей, оставшихся без попечения родителей (опекуны (попечители), усыновители), ранее исследовались Конституционным Судом Российской Федерации. Так, в Определении от 20 марта 2014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 учетом правовых позиций Конституционного Суда Российской Федерации, сформулированных в Постановлении от 31 января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Петровой Светланы Николаевны не подлежащей дальнейшему рассмотрению в заседании Конституционного Суда Российской Федерации, поскольку для разрешения поставленного заявительницей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