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162344-П/2014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13 мая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Гальцовой Галины Сергеевны на нарушение ее конституционных прав пунктом 2 части первой статьи 24, частью первой статьи 42 и частью первой статьи 148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Г.С.Гальцовой,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в Российской Федерации права и свободы человека и гражданина признаются и гарантируются согласно общепризнанным принципам и нормам международного права и в соответствии с Конституцией Российской Федерации, они определяют смысл, содержание и применение законов и обеспечиваются правосудием; гарантируется государственная, в том числе судебная, защита прав и свобод человека и гражданина; каждый вправе защищать свои права и свободы всеми способами, не запрещенными законом; права потерпевших от преступлений охраняются законом, государство обеспечивает им доступ к правосудию и компенсацию причиненного ущерба (статья 17, часть 1; статьи 18 и 45; статья 46, части 1 и 2; статья 52). Реализация названных конституционных прав осуществляется, в частности, посредством использования механизмов уголовно- процессуального регулирования, предполагающих обязанность органов предварительного расследования и прокурора при выявлении признаков преступления возбуждать уголовные дела, осуществлять от имени государства по делам публичного и частно-публичного обвинения уголовное преследование, обеспечивая тем самым неотвратимость ответственности виновных и защиту прав лиц, пострадавших от преступлений. При этом вытекающая из Конституции Российской Федерации, в частности ее статьи 52, обязанность государства обеспечивать восстановление прав потерпевшего от преступления не предполагает наделение потерпевшего правом предопределять необходимость осуществления уголовного преследования в отношении того или иного лица, а также пределы возлагаемой на это лицо уголовной ответственности. Данное право в силу публичного характера уголовно-правовых отношений может принадлежать 4 только государству в лице его законодательных и правоприменительных органов (Постановление Конституционного Суда Российской Федерации от 24 апреля 2003 года</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Оспариваемое заявительницей положение статьи 42 УПК Российской Федерации, предусматривающей признание потерпевшими лиц, которым преступлением причинен физический, имущественный, моральный вред, и наделение их соответствующим комплексом процессуальных прав, не только не нарушает конституционные права и свободы таких лиц, но и, напротив, гарантирует их, создавая предпосылки реализации этих прав и свобод. Причем, как отметил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Гальцовой Галины Сергеевны,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