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115866-П/2012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Белькова Олега Викторовича на нарушение его конституционных прав частью третьей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О.В.Белькова,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О.В.Бельковым материалы, не находит оснований для принятия его жалобы к рассмотрению. Уголовно-процессуальный кодекс Российской Федерации, исходя из стадийного построения уголовного судопроизводства, устанавливает раздельную регламентацию сроков содержания под стражей подозреваемых, обвиняемых в период предварительного расследования (статья 109) и подсудимых в период судебного разбирательства (статья 255), не предусматривая при этом общую предельную продолжительность применения данной меры пресечения. В силу этого исчисление сроков содержания под стражей на досудебной и судебной стадиях процесса осуществляется автономно. Соответственно, положения статей 109 и 255 УПК Российской Федерации не предполагают включение времени содержания под стражей на предыдущей стадии производства по уголовному делу в срок содержания под стражей на последующей стадии, как и наоборот. В противном случае порядок исчисления сроков содержания под стражей приводил бы к взаимозависимости решений об избрании и продлении меры пресечения в виде заключения под стражу, принятых судом на досудебной и судебной стадиях, ограничению применения данной меры пресечения 4 вопреки основаниям и условиям ее избрания и продления, а потому ставил бы под угрозу ценности, для защиты которых она избирается (статья 97 УПК Российской Федерации). Таким образом, последовательный переход от одной уголовно- процессуальной стадии к другой в ординарном порядке требует принятия отдельного судебного решения об избрании меры пресечения в виде заключения под стражу – исходя из законодательно установленных для каждого из этапов уголовного судопроизводства пределов. Особым случаем продления срока содержания обвиняемого под стражей является принятие такого решения при возвращении уголовного дела прокурору для устранения препятствий его рассмотрения судом по основаниям, указанным в части первой статьи 237 УПК Российской Федерации. Устранение таких препятствий не связано с восполнением неполноты проведенного предварительного расследования, поскольку Уголовно- процессуальный кодекс Российской Федерации не предусматривает право суда направлять уголовное дело для дополнительного расследования, наделяя этим полномочием только прокурора при поступлении к нему материалов дела с обвинительным заключением или обвинительным актом по окончании предварительного расследования (пункт 2 части первой статьи 221 и пункт 2 части первой статьи 226). Принимаемое же судьей по результатам предварительного слушания уголовного дела промежуточное решение о его возвращении прокурору имеет целью не продолжение следственной деятельности по обоснованию или дополнению обвинения, а приведение процедуры предварительного расследования в соответствие с требованиями, установленными уголовно-процессуальным законом, с тем чтобы – после устранения выявленных процессуальных нарушений, не устранимых в судебной стадии, – вновь направить дело в суд для рассмотрения по существу и принятия по результатам его рассмотрения итогового решения. 5 Неустранимость в судебном производстве процессуальных нарушений, имевших место на этапе предварительного расследования, предполагает осуществление необходимых следственных и иных процессуальных действий, что – в контексте стадийности уголовного судопроизводства – превращает процедуру возвращения дела прокурору для устранения препятствий к его судебному рассмотрению, по существу, в особый порядок движения уголовного дела, не тождественный его возвращению для производства дополнительного расследования. Соответственно, возвращение уголовного дела прокурору не приводит к автоматическому восстановлению избранной ранее на период предварительного расследования меры пресечения, прекратившей свое действие для данного этапа после направления прокурором уголовного дела в суд. В связи с этим на правовое регулирование применения заключения под стражу в случае возвращения дела прокурору в полной мере распространяется сформулированная Конституционным Судом Российской Федерации правовая позиция, согласно которой в уголовном судопроизводстве, по смыслу статей 22, 46 (часть 1), 48, 118, 120 и 123 Конституции Российской Федерации, суд как орган правосудия призван обеспечить справедливую процедуру принятия решения о применении указанной меры пресечения –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какой стадии уголовного судопроизводства эти решения принимаются (Постановление от 22 марта 2005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оспариваемое заявителем законоположение, вопреки его утверждению, не содержит неопределенности, поскольку в системе действующего правового регулирования и по смыслу, придаваемому ему правоприменительной практикой, не предполагает при возвращении уголовного дела прокурору для устранения препятствий его рассмотрения судом произвольного, не контролируемого судом и несоразмерного продления сроков содержания под стражей, а потому не может расцениваться как нарушающее конституционные права заявителя в указанном им аспекте. Проверка же того, соблюден ли порядок установления сроков содержания под стражей при принятии решения о направлении уголовного дела прокурору конкретным судом, не относится к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Белькова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