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164706-П/2014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Трященко Светланы Николаевны на нарушение ее конституционных прав статьей 2.9 и частью 1 статьи 9.1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гражданки С.Н.Трященко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3 примечания к статье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КоАП Российской Федерации за административные правонарушения, предусмотренные данной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Постановлением Конституционного Суда Российской Федерации от 25 февраля 2014 года Что касается доводов заявительницы о неопределенном характере положений оспариваемой статьи 2.9 КоАП Российской Федерации, предусматривающей возможность освобождения от административной ответственности при малозначительности административного правонарушения, то они не имеют под собой оснований.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Трященко Светланы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