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148108-П/2013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декабря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Романова Сергея Николаевича на нарушение его конституционных прав пунктом 1 статьи 1149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К.В.Арановского,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С.Н.Романова,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жалобы С.Н.Романова к рассмотрению. Право наследования, закрепленное статьей 35 (часть 4) Конституции Российской Федерации, обеспечивает гарантированный государством переход имущества, принадлежащего умершему (наследодателю), к другим лицам (наследникам) и включает в себя как право наследодателя распорядиться своим имуществом на случай смерти, 4 определить его судьбу с учетом отношений между ним и другими лицами, так и право лиц, призываемых к наследованию по завещанию или по закону, на получение наследственного имущества (определения Конституционного Суда Российской Федерации от 5 октября 2000 года Положения пункта 1 статьи 1149 ГК Российской Федерации частично воспроизводят статью 535 ГК РСФСР, примененную в деле заявителя с учетом статьи 8 Федерального закона от 26 ноября 2001 года № 147-ФЗ «О введении в действие части третьей Гражданского кодекса Российской Федерации», согласно которой правила об обязательной доле в наследстве, установленные частью третьей данного Кодекса, применяются лишь к завещаниям, совершенным после 1 марта 2002 года. Обращаясь ранее к вопросу о предусмотренном статьей 535 ГК РСФСР праве нетрудоспособного супруга наследодателя на обязательную долю в наследстве, Как следует из статей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Романова Сергея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