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Авчинникова Алексея Анатольевича на нарушение его конституционных прав положениями статей 195 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А.А.Авчинникова,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7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потерпевший и его представитель имеют те же права, что и подозреваемый,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подозреваемого, обвиняемого, его защитника с постановлением о назначении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8 283)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обеспечение права на защиту подозреваемых, обвиняемых при ознакомлении с постановлением о назначении судебной экспертизы и с 9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содержащихся в принятых по конкретному делу судебных постановлениях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Авчинникова Алексея Анатольевича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