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105722-П/2012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июня 2012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Супруна Михаила Николаевича на нарушение его конституционных прав статьей 137 Уголовного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В.Г.Ярославцева, заслушав сообщение судьи Н.В.Селезнева,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гражданина М.Н.Супруна,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Конституция Российской Федерации, гарантируя право каждого на неприкосновенность частной жизни, личную и семейную тайну (статья 23, часть 1), запрещает сбор, хранение, использование и распространение информации о частной жизни лица без его согласия (статья 24, часть 1) и устанавливает, что признание, соблюдение и защита прав и свобод человека и гражданина – обязанность государства (статья 2), реализация которой может выражаться в обеспечении их превентивной защиты посредством определения законных оснований собирания, хранения, использования и распространения сведений о частной жизни лица, составляющих его личную или семейную тайну, а также в установлении мер юридической ответственности (статья 71, пункты «в», «о»; статья 72, пункт «б» части 1), в том числе уголовно-правовых санкций за противоправные действия, причиняющие ущерб находящимся под особой защитой Конституции Российской Федерации правам личности. Исходя из предписаний статей 23 (часть 1) и 24 (часть 1) Конституции Российской Федерации, конфиденциальным характером обладает любая информация о частной жизни лица, а потому она во всяком случае относится к сведениям ограниченного доступа. Право на неприкосновенность частной жизни, личную и семейную тайну означает предоставленную человеку и гарантированную государством возможность контролировать информацию о самом себе, препятствовать разглашению сведений личного, интимного характера; в понятие «частная жизнь» включается та область жизнедеятельности человека, которая относится к отдельному лицу, касается только его и не подлежит контролю со стороны общества и государства, если носит непротивоправный характер (определения Конституционного Суда Российской Федерации от 9 июня 2005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Супруна Михаила Николаевича,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