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161462-П/2014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Пушенковой Галины Васильевны на нарушение ее конституционных прав пунктом 11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гражданки Г.В.Пушенковой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Г.В.Пушенковой материалы, не находит оснований для принятия ее жалобы к рассмотрению. В соответствии с подпунктом 19 пункта 1 статьи 27 Федерального закона от 17 декабря 2001 года № 173-ФЗ «О трудовых пенсиях в Российской Федерации» лицам, не менее 25 лет осуществлявшим педагогическую деятельность в государственных и муниципальных учреждениях для детей, трудовая пенсия по старости назначается независимо от возраста. Согласно пункту 2 статьи 27 названного Федерального закона списки работ, профессий, должностей, специальностей и учреждений (организаций), с учетом которых досрочно назначается трудовая пенсия по старости, правила исчисления периодов работы (деятельности) и назначения указанной пенсии при необходимости утверждаются Правительством Российской Федерации. Действуя в пределах предоставленного полномочия, Правительство Российской Федерации постановлением от 29 октября 2002 года № 781 утвердило правила, которые регулируют порядок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обеспечивая тем самым реализацию права данной категории граждан на досрочное пенсионное обеспечение. В действующей системе пенсионного обеспечения установление для лиц, осуществлявших педагогическую деятельность, льготных условий приобретения права на трудовую пенсию по старости направлено, главным образом, на защиту от риска утраты профессиональной трудоспособности ранее достижения общеустановленного пенсионного возраста. Поэтому право на досрочное назначение трудовой пенсии по старости связывается не с любой работой, а лишь с такой, при выполнении которой организм работника подвергается неблагоприятному воздействию различного рода факторов, обусловленных спецификой и характером профессиональной деятельности; при этом учитываются также и различия в характере труда, 4 функциональных обязанностях лиц, работающих на одних и тех же должностях, но в разных по профилю и задачам деятельности учреждениях и организациях (Определение Конституционного Суда Российской Федерации от 20 ноября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Пушенковой Галины Васильевны, поскольку она не отвечает требованиям 5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