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148114-П/2013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Воронова Александра Алексеевича на нарушение его конституционных прав частью первой статьи 17, пунктом 3 части второй статьи 38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А.А.Воронова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Защитник гражданина А.А.Воронова, подозреваемого в совершении преступления, обратился к следователю с ходатайством о приобщении заключения специалиста к материалам уголовного дела в качестве доказательства. Постановлением следователя от 22 апреля 2013 года в удовлетворении ходатайства отказано. В принятии поданной в порядке статьи 125 УПК Российской Федерации жалобы на данное постановление следователя постановлением судьи районного суда от 26 апреля 2013 года, с 2 которым согласились суды апелляционной и кассационной инстанций, также отказано ввиду отсутствия предмета для судебного обжалования по правилам этой статьи и со ссылкой на статьи 17 и 38 того же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Согласно части первой статьи 125 УПК Российской Федерации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Как указал Конституционный Суд Российской Федерации в Постановлении от 23 марта 1999 года Что же касается статьи 17 УПК Российской Федерации, то она закрепляет свободу оценки доказательств в качестве принципа уголовного судопроизводства и не может нарушать конституционные права граждан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