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162370-П/2014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Шилова Романа Сергеевича на нарушение его конституционных прав частью третьей статьи 195 и частью первой статьи 198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Р.С.Шилова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частью третьей статьи 195 УПК Российской Федерации следователь знакомит с постановлением о назначении судебной экспертизы подозреваемого, обвиняемого, его защитника, потерпевшего, его представителя и разъясняет им права, предусмотренные статьей 198 данного Кодекса, о чем составляется протокол, подписываемый следователем и лицами, которые ознакомлены с постановлением. Это процессуальное действие, по смыслу указанных норм, рассматриваемых в системной связи, должно быть осуществлено до начала производства экспертизы; в противном случае названные участники процесса лишаются возможности реализовать связанные с назначением экспертизы и вытекающие из конституционных принципов состязательности и равноправия сторон права, закрепленные статьей 198 УПК Российской Федерации. Данное требование части третьей статьи 195 УПК Российской Федерации распространяется на порядок назначения любых судебных экспертиз, носит императивный характер и обязательно для исполнения следователем, прокурором и судом на досудебной стадии судопроизводства во всех случаях (определения Конституционного Суда Российской Федерации от 18 июня 2004 года № 206- О, от 25 декабря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Шилова Романа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