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190482-П/2015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февраля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Азналина Радмира Валериевича на нарушение его конституционных прав статьей 61 Уголовно-процессуального кодекса Российской Федерации и статьей 3 Федерального закона «О компенсации за нарушение права на судопроизводство в разумный срок или права на исполнение судебного акта в разумный срок»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Р.В.Азналина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рассмотрев представленные материалы, не находит оснований для принятия данной жалобы к рассмотрению. Введя в правовое регулирование институт присуждения компенсации за нарушение права на судопроизводство в разумный срок и права на исполнение судебного акта в разумный срок в качестве внутригосударственного средства правовой защиты от предположительно имевшего место нарушения требований Конвенции о защите прав человека и основных свобод во взаимосвязи с соответствующими положениями Конституции Российской Федерации, федеральный законодатель, по сути, установил специальный – вспомогательный к общегражданскому порядку возмещения вреда, причиненного незаконными действиями (бездействием) государственных органов, в том числе судов, – механизм защиты прав на судебную защиту и на справедливое судебное разбирательство (Постановление Конституционного Суда Российской Федерации от 19 июля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Азналина Радмира Валериевича,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