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144254-П/2013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Емеца Андрея Викторовича на нарушение его конституционных прав статьей 1594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С.П.Маврина,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Н.В.Селезнева, О.С.Хохряковой, В.Г.Ярославцева, рассмотрев вопрос о возможности принятия жалобы гражданина А.В.Емеца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Из жалобы следует, что предполагаемая неконституционность оспариваемой нормы связывается заявителем не с ее содержанием, а с отказом в ее применении в его деле, поскольку суд в приговоре оценил его деяния как не относящиеся к предпринимательской деятельности. Между тем разрешение вопроса о том, относится ли деяние, в совершении которого обвиняется лицо, к сфере предпринимательской деятельности, требует оценки фактических обстоятельств конкретного дела и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входит.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Емеца Андрея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С.П.Маврин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