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145564-П/2013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Высшего Арбитражного Суда Российской Федерации о проверке конституционности частей 11 и 3 статьи 28.1 Кодекса Российской Федерации об административных правонарушениях во взаимосвязи со статьей 29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Высшего Арбитражного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запроса к рассмотрению. Из запроса и приложенных к нему материалов следует, что заявитель ставит вопрос о проверке конституционности частей 11 и 3 статьи 28.1 КоАП Российской Федерации во взаимосвязи со статьей 29 Федерального закона «О несостоятельности (банкротстве)» в редакции, действовавшей до принятия Федерального закона от 23 июля 2013 года № 202-ФЗ «О внесении изменений в статью 28.1 Кодекса Российской Федерации об административных правонарушениях и статью 2 Федерального закона «О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 На момент вынесения Высшим Арбитражным Судом Российской Федерации решения о приостановлении надзорного производства и обращении с запросом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Высшего Арбитражного Суда Российской Федерации,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