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73148-П/2011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Блинова Александра Николаевича на нарушение его конституционных прав положениями пункта 4 части первой статьи 448 Уголовно- процессуального кодекса Российской Федерации и пункта 3 статьи 16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А.Н.Блинова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Исполняющий обязанности Председателя Следственного комитета при прокуратуре Российской Федерации 9 июня 2010 года обратился в Высшую квалификационную коллегию судей Российской Федерации с представлением о даче согласия на возбуждение в отношении судьи Ставропольского краевого суда А.Н.Блинова уголовного дела по признакам 2 преступлений, предусмотренных частью третьей статьи 159 и частью второй статьи 264 УК Российской Федерации, и такое согласие было дано Высшей квалификационной коллегией судей Российской Федерации 25 августа 2010 года. 14 октября 2010 года первый заместитель Генерального прокурора Российской Федерации –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статус личности в Российской Федерации, определяемый в том числе статьями 2, 17–19, 45, 46 и 49 Конституции Российской Федерации, не предполагает произвольного привлечения к уголовной ответственности лиц, подозреваемых в совершении преступления, – привлечение их к уголовной ответственности возможно лишь при наличии поводов и основания для возбуждения уголовного дела и с соблюдением порядка уголовного судопроизводства, который согласно статьям 71 (пункт «о») и 76 (часть 1) Конституции Российской Федерации устанавливается федеральным законом, а именно Уголовно-процессуальным кодексом Российской Федерации (часть первая статьи 1). При осуществлении такого регулирования федеральный законодатель исходит из того, что в силу принципа равенства, закрепленного в статье 19 Конституции Российской Федерации, все лица, совершившие преступления, равны перед законом и подлежат уголовной ответственности независимо, в частности, от должностного положения, а также других обстоятельств (статья 4 УК Российской Федерации). Определенным ограничением названного принципа является судейская неприкосновенность (статья 122 Конституции Российской Федерации), которая, однако, не означает освобождения от уголовной или иной ответственности и выступает не личной привилегией гражданина, занимающего должность судьи, а средством защиты публичных интересов, прежде всего интересов правосудия, призванного согласно статье 18 Конституции Российской Федерации обеспечивать права и свободы человека 4 и гражданина (постановления Конституционного Суда Российской Федерации от 7 марта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Блинова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