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17526-П/2008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Степанюка Андрея Юрьевича на нарушение его конституционных прав положением части первой статьи 79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гражданина А.Ю.Степанюка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А.Ю.Степанюком материалы, не находит оснований для принятия его жалобы к рассмотрению. Затронутый в жалобе вопрос ранее уже был предметом рассмотрения Конституционного Суда Российской Федерации в связи с обращениями других заявителей. В Определении от 20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Степанюка Андрея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