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151615-П/2014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Шперле Виктора Иосифовича на нарушение его конституционных прав статьями 171, 172, 175, 215, 220, 221, 299, 307, 308 и 309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В.И.Шперле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В.И.Шперле материалы, не находит оснований для принятия его жалобы к рассмотрению. Оспариваемые заявителем статьи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производстве. Установление же того, являются ли инкриминируемые лицу действия составной частью преступления, по поводу которого было возбуждено уголовное дело, или они образуют самостоятельное преступление, о котором должно быть возбуждено новое уголовное дело, относится к компетенции правоприменительных органов (определения Конституционного Суда Российской Федерации от 18 июля 2006 года № 343- 3 О, от 21 декабря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Шперле Виктора Иосифовича,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