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101797-П/2012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Петракова Алексея Васильевича на нарушение его конституционных прав пунктами 1, 2, 3 и 5 статьи 12 Федерального закона «О высшем и послевузовском профессиональном образовании», пунктом 60 Типового положения об образовательном учреждении высшего профессионального образования (высшем учебном заведении), статьями 381 и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А.В.Петракова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А.В.Петраковым материалы, не находит оснований для принятия его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 Положения статьи 381 ГПК Российской Федерации, вопреки утверждению заявителя, не допускали произвольного применения и обязывали судей судов надзорной инстанции при изучении надзорной жалобы или представления прокурора учитывать все приведенные заявителями доводы о допущенных нижестоящими судами при рассмотрении дел с их участием нарушениях норм материального и процессуального права, в том числе доводы о нарушении единства судебной практики, выразившемся в неприменении судами норм права в толковании, данном в определении Конституционного Суда Российской Федерации по другому делу. Статья 387 ГПК Российской Федерации уже была предметом рассмотрения Конституционного Суда Российской Федерации.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Петракова Алексея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