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187626-П/2015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Кириенко Романа Викторовича на нарушение его конституционных прав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Р.В.Кириенко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1.2 КоАП Российской Федерации 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 Таким образом, данное законоположение, носящее общий характер и направленное на охрану конституционных ценностей, не может рассматриваться как нарушающее какие-либо конституционные права граждан. Часть 1 статьи 6.9 КоАП Российской Федерации, устанавливающая административную ответственность за потребление наркотических средств или психотропных веществ без назначения врача, обеспечивает охрану здоровья граждан, государственной и общественной безопасности и также не нарушает конституционные права заявителя в указанном им аспекте. По общему правилу, предусмотренному частью 2 статьи 25.1 КоАП Российской Федерации,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Вместе с тем названное законоположение определяет случаи и условия, когда дело об административном правонарушении может быть рассмотрено в отсутствие лица, привлекаемого к административной ответственности. В частности, это возможно тогда, когда названное лицо, надлежаще извещенное о месте и времени рассмотрения дела, не ходатайствовало об отложении рассмотрения дела. Вместе с тем,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Кириенко Романа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