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15458-П/2006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Бухаловой Светланы Васильевны на нарушение ее конституционных прав пунктом 5 статьи 3 Федерального закона «О применении контрольно-кассовой техники при осуществлении наличных денежных расчетов и (или) расчетов с использованием платежных карт»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гражданки С.В.Бухаловой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С.В.Бухаловой материалы, не находит оснований для принятия ее жалобы к рассмотрению. Конституция Российской Федерации гарантирует свободу экономической деятельности (статья 8, часть 1), а также такие основные неотчуждаемые права и свободы, как право на свободу предпринимательской и иной не запрещенной законом экономической деятельности (статья 34, часть 1) и право иметь имущество в собственности, владеть, пользоваться и распоряжаться им как единолично, так и совместно с другими лицами (статья 35, часть 2). В то же время, как следует из статьи 1 Протокола № 1 к Конвенции о защите прав человека и основных свобод, право каждого физического и юридического лица на уважение принадлежащей ему собственности и ее защиту, в том числе предполагающее свободу пользования имуществом в целях осуществления предпринимательской деятельности, не умаляет право государства обеспечивать выполнение таких законов, какие ему представляются необходимыми для осуществления контроля за использованием собственности в соответствии с общими интересами. В Федеральном законе «О применении контрольно-кассовой техники при осуществлении наличных денежных расчетов и (или) расчетов с использованием платежных карт» наряду с обязанностью использовать в наличных денежных расчетах только включенную в Государственный реестр контрольно-кассовую технику предусмотрена такая гарантия, как право 6 организаций и индивидуальных предпринимателей на дальнейшее применение имеющейся контрольно-кассовой машины (в случае исключения такой модели из Государственного реестра) до истечения нормативного срока ее амортизации (пункт 5 статьи 3). В соответствии с Положением о порядке ведения Государственного реестра контрольно-кассовых машин, используемых на территории Российской Федерации (пункт 3.2), модели контрольно-кассовых машин вносятся в Государственный реестр на срок, устанавливаемый Государственной комиссией, но не более чем на пять лет; в случае исключения модели контрольно-кассовой машины для машин этой модели устанавливается предельный срок их использования, продолжительность которого определяется Государственной комиссией с учетом Классификации основных средств, включаемых в амортизационные группы (утверждена постановлением Правительства Российской Федерации от 1 января 2002 года № 1), но не более семи лет для каждой машины, считая с даты ее выпуска. Как следует из указанной Классификации и Общероссийского классификатора основных фондов (утвержден постановлением Госстандарта России от 26 декабря 1994 года № 359), срок полезного использования, признаваемый пунктом 1 статьи 258 Налогового кодекса Российской Федерации как период, в течение которого имущество служит для выполнения целей деятельности налогоплательщика, и определяемый им самостоятельно на дату ввода в эксплуатацию и с учетом названной Классификации, сходный, по существу, с предусмотренным пунктом 5 статьи 3 Федерального закона «О применении контрольно- кассовой техники при осуществлении наличных денежных расчетов и (или) расчетов с использованием платежных карт» нормативным сроком амортизации, для кассовых аппаратов составляет от пяти до семи лет включительно. Таким образом, данная норма в условиях действия общего запрета на использование исключенной из Государственного реестра контрольно- кассовой техники, предоставляющая организациям и индивидуальным 7 предпринимателям возможность адаптироваться к изменяющимся обстоятельствам с целью уменьшения возможных негативных последствий таких изменений, не может рассматриваться как не соответствующая принципам юридического равенства и справедливости и необоснованно ограничивающая конституционные права граждан, закрепленные в статьях 19 (часть 1), 34 (часть 1) и 35 (часть 2) Конституции Российской Федерации. Проверка же ее конституционности фактически означала бы оценку целесообразности и экономической обоснованности принятия законодателем решений, ограничивающих срок использования контрольно-кассовой техники. Вопрос о том, каким конкретно должен быть срок полезного использования (нормативный срок амортизации) контрольно-кассовой техники, должен решаться на основе экономической и учетно- организационной целесообразности; его разрешение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Неподведомственно Конституционному Суду Российской Федерации и удовлетворение требований заявительницы, которые фактически сводятся к необходимости самостоятельного определения срока эксплуатации контрольно-кассовых машин самими пользователями (собственниками) с учетом технического состояния таких машин и наличия фискальной памяти.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Бухаловой Светланы Васильевны, поскольку она не отвечает требованиям Федерального конституционного закона «О Конституционном Суде Российской 8 Федерации», в соответствии с которыми жалоба признается допустимой, а также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