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175135-П/2014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Быстрянцева Андрея Васильевича на нарушение его конституционных прав статьей 16.4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А.В.Быстрянцева,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4.1 КоАП Российской Федерации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соответствующее административное правонарушение (часть 1);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Как и любое другое административное наказание, административный штраф в силу части 1 статьи 3.1 КоАП Российской Федерации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Административный штраф, согласно Кодексу Российской Федерации об административных правонарушениях, – это один из основных видов административных наказаний (часть 1 статьи 3.3), устанавливается за совершение административных правонарушений, предусмотренных данным Кодексом и законами субъектов Российской Федерации об административных правонарушениях, может применяться как в судебном, так и в административном порядке; будучи денежным взысканием, административный штраф выражается в рублях, по общему правилу не может быть менее ста рублей и устанавливается для граждан в размерах, предусмотренных статьей 3.5 данного Кодекса, в том числе может выражаться в величине, кратной незадекларированной сумме наличных денежных средств и (или) стоимости денежных инструментов (пункт 7 части 1). Предусмотренные данным Кодексом размеры административных штрафов должны соотноситься с характером и степенью общественной 5 опасности административных правонарушений и обладать разумным сдерживающим эффектом, необходимым для соблюдения находящихся под защитой административно-деликтного законодательства запретов.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Быстрянцева Андрея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