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апреля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Цириса Виталия Ивановича на нарушение его конституционных прав подпунктом «в» пункта 2 статьи 51 Федерального закона «О воинской обязанности и военной службе»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В.И.Цириса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В.И.Цирисом материалы, не находит оснований для принятия данной жалобы к рассмотрению. В Постановлении от 21 марта 2013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Что касается требования заявителя вынести по его жалобе определение, указав, что правоприменительное решение по его делу подлежит пересмотру, если оно вынесено на основании оспариваемой нормы в истолковании, расходящемся с его конституционно-правовым смыслом, выявленным в Постановлении Конституционного Суда Российской Федерации от 21 марта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Цириса Виталия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