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162564-П/2014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Шахбазяна Степана Хачатуровича на нарушение его конституционных прав пунктом 2 части второй, пунктом 2 части третьей статьи 392 Гражданского процессуального кодекса Российской Федерации и пунктом 3 части первой статьи 24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С.Х.Шахбазяна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 представленными заявителем материалами не подтверждается применение судом в конкретном деле с его участием пункта 2 части второй статьи 392 ГПК Российской Федерации, а потому его жалоба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Шахбазяна Степана Хачатуровича,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