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29425-П/2009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4 июня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Волченко Владимира Васильевича на нарушение его конституционных прав положением статьи 47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А.Я.Сливы, О.С.Хохряковой, В.Г.Ярославцева, заслушав в пленарном заседании заключение судьи А.Я.Сливы,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В.В.Волченко,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Постановлении от 17 декабря 1996 года Налоговый кодекс Российской Федерации предусматривает систему гарантий соблюдения прав налогоплательщиков при реализации установленной его статьей 47 процедуры принудительного исполнения налоговой обязанности. Так, данная процедура может применяться только после того, как налоговым органом налогоплательщику будет направлено требование об уплате налога (статья 69) с установлением в нем срока для добровольного погашения возникшей недоимки, при этом само выявление недоимки осуществляется в рамках строго регламентированных Налоговым кодексом Российской Федерации процедур налогового контроля (статьи 88 и 89). Обращение взыскания на имущество налогоплательщика допускается только после исчерпания возможностей взыскания задолженности за счет денежных средств на счетах налогоплательщика в банке (пункт 7 статьи 46 Налогового кодекса Российской Федерации). Оно осуществляется в установленной Налоговым кодексом Российской Федерации последовательности: сначала взыскание обращается на наличные денежные средства и денежные средства в банках, на которые не было обращено взыскание в соответствии со статьей 46 данного Кодекса, затем на имущество, не участвующее непосредственно в производстве продукции (товаров), – ценные бумаги, валютные ценности, непроизводственные помещения, легковой автотранспорт, предметы дизайна служебных помещений, затем на готовую продукцию (товары) и иные материальные ценности, не участвующие и (или) не предназначенные для непосредственного участия в производстве; только после этого взыскание обращается на имущество, используемое в хозяйственной деятельности (сырье и материалы, станки, оборудование, здания, сооружения и др.) (пункт 5 статьи 47). 5 Федеральным законодателем также предусмотрены гарантии защиты прав налогоплательщиков в рамках процедуры рассмотрения дел о налоговых правонарушениях (статья 101 Налогового кодекса Российской Федерации). Так, Налоговым кодексом Российской Федерации закреплена возможность обжалования в вышестоящий налоговый орган как не вступившего (в апелляционном порядке), так и вступившего в силу решения о привлечении налогоплательщика к ответственности за совершение налогового правонарушения (статья 1012). В соответствии с пунктом 3 статьи 138 Налогового кодекса Российской Федерации в случае обжалования актов налоговых органов, действий их должностных лиц в суд по заявлению налогоплательщика (плательщика сборов, налогового агента) исполнение обжалуемых актов, совершение обжалуемых действий могут быть приостановлены судом в порядке, установленном процессуальным законодательством Российской Федерации. Закрепление в Налоговом кодексе Российской Федерации данной нормы (соответствующая норма содержится и в части 3 статьи 199 АПК Российской Федерации) означает указание федерального законодателя на необходимость применения арбитражными судами данного полномочия во всех случаях, когда это диктуется обстоятельствами конкретных дел. Реализация данного полномочия не может носить произвольный характер: арбитражный суд решает этот вопрос с учетом всех обстоятельств, характеризующих имущественное положение индивидуального предпринимателя, исходя в том числе из указанных правовых позиций Конституционного Суда Российской Федерации. При наличии оснований полагать, что взыскание названных платежей нанесет положению индивидуального предпринимателя как налогоплательщику такой ущерб, при котором будут существенно затронуты его права как физического лица, указанное право арбитражного суда означает его обязанность приостановить исполнение решения налогового органа (аналогичная правовая позиция выражена 6 Конституционным Судом Российской Федерации применительно к полномочиям судов по пересмотру судебных актов в порядке надзора в Определении от 24 ноября 2005 года Таким образом, оспариваемое В.В.Волченко положение статьи 47 Налогового кодекса Российской Федерации, рассматриваемое в системе действующего нормативно-правового регулирования, не предполагает произвольное и не ограниченное судебным контролем применение порядка взыскания недоимки по налогам, пеней, а также штрафов за счет имущества налогоплательщика (налогового агента), – иное противоречило бы статьям 35 (часть 3) и 46 Конституции Российской Федерации и приведенным правовым позициям Конституционного Суда Российской Федерации. Что касается поставленного в жалобе В.В.Волченко вопроса о разъяснении положений Налогового кодекса Российской Федерации относительно порядка уплаты единого налога на вмененный доход, 7 обязанностей по уплате страховых взносов на обязательное пенсионное страхование и по перечислению в бюджет удержанного с работников налога на доходы физических лиц, а также о проверке законности и обоснованности конкретных правоприменительных решений, то их разрешение не относится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пунктами 2 и 3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Волченко Владимира Васильевича не подлежащей дальнейшему рассмотрению в заседании Конституционного Суда Российской Федерации, поскольку для разрешения поставленных в ней вопросов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