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147878-П/2013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Квернадзе Серго Джангулиевича на нарушение его конституционных прав частью первой статьи 10 и пунктом 2 примечаний к статье 228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С.Д.Квернадзе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связи с утверждением постановлением Правительства Российской Федерации от 1 октября 2012 года № 1002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Федерации, гражданин 2 С.Д.Квернадзе, осужденный приговором суда от 16 августа 2012 года за преступления, предусмотренные частью второй статьи 228, частью третьей статьи 30 и частью первой статьи 2281 УК Российской Федерации, обратился в суд с ходатайством о приведении приговора в соответствие с действующим уголовным законом. В удовлетворении данного ходатайства ему было отказано. Суд апелляционной инстанции, в которой С.Д.Квернадзе указывал на необходимость переквалификации его действий с части второй статьи 228 УК Российской Федерации на ее часть первую, оставил его апелляционную жалобу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С.Д.Квернадзе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 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3 усиливающий наказание или иным образом ухудшающий положение лица, обратной силы не имеет (часть первая статьи 10),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Квернадзе Серго Джангулиевича,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