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17419-П/2008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Cанкт-Петербург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Сенина Вячеслава Павловича на нарушение его конституционных прав статьей 387 Гражданского процессуального кодекса Российской Федерации и пунктом 5 части первой статьи 448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В.П.Сенина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Нижегородского областного суда от 30 августа 2007 года гражданину В.П.Сенину было отказано в истребовании дела по его иску к гражданке Т.В.Гришиной о признании права собственности на квартиру и признании ответчицы утратившей право собственности на эту квартиру. Кроме того, в ответ на обращение В.П.Сенина в органы прокуратуры с заявлением о проверке законности действий судьи по гражданскому делу с 2 его участием должностное лицо Генеральной прокуратуры Российской Федерации письмом от 31 октября 2007 года сообщило о невозможности проверки законности вынесенных судебных постановлений в рамках предоставленных органам прокуратуры полномочий.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В.П.Сениным материалы, не находит оснований для принятия его жалоб к рассмотрению. Данными материалами не подтверждается применение в деле заявителя статьи 448 УПК Российской Федерации, следовательно, его жалобы в этой части не отвечают требованию допустимости обращений, установленному Федеральным конституционным законом «О Конституционном Суде Российской Федерации». Постановлением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Сенина Вячеслава Павловича,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