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191856-П/2012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Овчинникова Константина Владимировича на нарушение его конституционных прав Федеральным законом от 1 марта 2012 года № 18-ФЗ «О внесении изменений в отдельные законодательные акты Российской Федерации» и постановлением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К.В.Овчинникова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Уголовному кодексу Российской Федерации преступность и наказуемость деяния определяются уголовным законом, действовавшим во время совершения этого деяния (часть первая статьи 9); уголовный закон, устраняющий преступность деяния, смягчающий наказание или иным образом улучшающий положение лица, совершившего преступление, имеет обратную силу, т.е. распространяется на лиц, совершивших соответствующие деяния до вступления такого закона в 3 силу, в том числе на лиц, отбывающих наказание или отбывших наказание, но имеющих судимость; уголовный закон, устанавливающий преступность деяния, усиливающий наказание или иным образом ухудшающий положение лица, обратной силы не имеет (часть первая статьи 10); при этом преступность деяния, а также его наказуемость и иные уголовно-правовые последствия определяются только данным Кодексом (часть первая статьи 3).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Овчинникова Константина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5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