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104220-П/2012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июня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Мохаммада Фарида на нарушение его конституционных прав частью второй статьи 392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А.Н.Кокотова,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Мохаммада Фарида,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относит к ведению Российской Федерации как судоустройство (статья 71, пункт «о») и установление системы федеральных органов судебной власти, порядка их организации и деятельности (статья 71, пункт «г»), так и установление судебной системы Российской Федерации в целом, которое в силу ее статьи 118 (часть 3) осуществляется исключительно Конституцией Российской Федерации и федеральным конституционным законом. При этом Конституция Российской Федерации определяет лишь отдельные элементы судебной системы, закрепляя основы статуса Конституционного Суда Российской Федерации, Верховного Суда Российской Федерации и Высшего Арбитражного Суда Российской Федерации (статьи 125–127); их полномочия, порядок образования и деятельности, как и иных федеральных судов, должны устанавливаться федеральным конституционным законом (статья 128, часть 3). Реализуя предписания статей 71 (пункты «г», «о») и 118 (часть 3) Конституции Российской Федерации, законодатель в Федеральном конституционном законе от 31 декабря 1996 года № 1-ФКЗ «О судебной системе Российской Федерации» наряду с действующими в субъектах Российской Федерации федеральными судами предусматривает в качестве судов субъектов Российской Федерации конституционные (уставные) суды субъектов Российской Федерации (часть 4 статьи 4), которые входят в судебную систему Российской Федерации (часть 2 статьи 4), создаются и упраздняются законами субъектов Российской Федерации (часть 2 статьи 17) и рассматривают вопросы, отнесенные к их компетенции, в порядке, установленном законом субъекта Российской Федерации; их финансирование 4 производится за счет средств бюджета соответствующего субъекта Российской Федерации (части 2 и 3 статьи 27). Данные суды могут создаваться субъектами Российской Федерации для рассмотрения вопросов соответствия законов субъекта Российской Федерации, нормативных правовых актов органов государственной власти субъекта Российской Федерации, органов местного самоуправления субъекта Российской Федерации конституции (уставу) субъекта Российской Федерации, а также для толкования конституции (устава) субъекта Российской Федерации (часть 1 статьи 27 названного Федерального конституционного закона). Как указал</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Таким образом, оспариваемое заявителем законоположение его конституционные права в его конкретном деле не нарушает. В силу этого его жалоба, как не отвечающая требованиям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Мохаммада Фарида,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