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125682-П/2013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Киричека Романа Васильевича на нарушение его конституционных прав частями второй и четвертой статьи 20, частями первой и третьей статьи 318, частями первой и первой1 статьи 319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Р.В.Киричека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части 1 и 2), не предполагает, что гражданин может по собственному усмотрению выбирать способ и процедуру его осуществления, – они определяются на основе Конституции Российской Федерации, ее статей 46, 123 и 128, федеральными законами, к числу которых относится и Уголовно-процессуальный кодекс Российской Федерации. Этот Кодекс, устанавливая, что в зависимости от характера и тяжести совершенного преступления уголовное преследование, включая обвинение в суде, осуществляется в публичном, частнопубличном и частном порядке (часть первая статьи 20), относит уголовные дела о ряде преступлений к делам частного обвинения, которые возбуждаются в отношении конкретного лица не иначе как путем подачи потерпевшим, его законным представителем заявления в суд, за исключением случаев, предусмотренных пунктом 2 части первой и частью четвертой статьи 147 УПК Российской Федерации (часть вторая статьи 20 и часть первая статьи 318). 3 В случаях же, когда лицо, в отношении которого совершено преступление, в силу зависимого или беспомощного состояния либо по иным причинам не может защищать свои права и законные интересы, уголовное дело частного обвинения может быть возбуждено руководителем следственного органа, следователем, а также с согласия прокурора дознавателем и при отсутствии заявления потерпевшего, при этом следователь приступает к производству предварительного расследования, а дознаватель – дознания (часть четвертая статьи 20 и часть третья статьи 318 УПК Российской Федерации). Такой порядок возбуждения уголовного дела, будучи дополнительной гарантией защиты прав потерпевшего, предусмотрен в качестве альтернативного и применяется лишь тогда, когда потерпевший по делу частного обвинения не может защищать свои права и законные интересы самостоятельно или с помощью своего законного представителя либо представителя; этот порядок установлен в защиту интересов потерпевшего и не может рассматриваться как нарушающий права заявителя (определения Конституционного Суда Российской Федерации от 19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Киричека Романа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