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149858-П/2013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Леонова Виталия Станиславовича на нарушение его конституционных прав подпунктом 20 пункта 1 статьи 27 Федерального закона «О трудовых пенсиях в Российской Федерации» и постановлением Правительства Российской Федерации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В.С.Леонова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В.С.Леоновым материалы, не находит оснований для принятия его жалобы к рассмотрению. Устанавливая в Федеральном законе «О трудовых пенсиях в Российской Федерации»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трудовой пенсии по старости, федеральный законодатель связывает право на назначение пенсии ранее достижения общеустановленного пенсионного возраста не с любой работой,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 частности с лечебной и иной деятельностью по охране здоровья населения в учреждениях здравоохранения (подпункт 20 пункта 1 статьи 27). Основанная на указанных признаках дифференциация в условиях реализации права на трудовую пенсию по старости и выделение в особую категорию лиц, имеющих право на досрочное пенсионное обеспечение по старости, отдельных работников, осуществляющих лечебную и иную деятельность по охране здоровья населения в учреждениях здравоохранения, не могут расцениваться как нарушающие положения Конституции Российской Федерации. Списки соответствующих работ, профессий, должностей, специальностей и учреждений (организаций), с учетом которых досрочно назначается трудовая пенсия по старости, при необходимости утверждаются Правительством Российской Федерации (абзац первый 4 пункта 2 статьи 27 Федерального закона «О трудовых пенсиях в Российской Федерации»). Действуя в пределах предоставленного ему полномочия, Правительство Российской Федерации постановлением от 29 октября 2002 года № 781 утвердило Список, который конкретизирует применительно к пенсионному обеспечению не раскрытые в указанном Федеральном законе понятия «лечебная и иная деятельность по охране здоровья населения» и «учреждение здравоохранения», обеспечивая тем самым реализацию права граждан на досрочное пенсионное обеспечение. При этом в основе соответствующей дифференциации лежит оценка характера труда, функциональных обязанностей лиц, работающих на одних и тех же должностях, но в различных по профилю и задачам деятельности учреждениях и организациях, что само по себе также не может рассматриваться как нарушающее конституционный принцип равенства при реализации права на пенсионное обеспечение, гарантированного статьей 39 (часть 1) Конституции Российской Федерации. Следовательно, оспариваемые заявителем положения нормативных правовых актов не могут расцениваться как нарушающие его конституционные права.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Леонова Виталия Станиславовича,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