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104528-П/2012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Радина Алексея Владимировича на нарушение его конституционных прав частью второй статьи 10 Уголовного кодекса Российской Федерации, частью первой статьи 17, статьей 90, частью третьей статьи 396 и пунктом 13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А.В.Радина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приговоры в отношении гражданина А.В.Радина были приведены в соответствие с действующим законодательством в связи с изменениями и дополнениями, внесенными в уголовный закон и улучшающими положение лиц, совершивших преступление.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10 УК Российской Федерации уже были предметом рассмотрения Конституционного Суда Российской Федерации, который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Радина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